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D03F" w14:textId="1FF9A117" w:rsidR="0030501E" w:rsidRPr="00AC0D5F" w:rsidRDefault="0030501E" w:rsidP="00AC4822">
      <w:pPr>
        <w:jc w:val="center"/>
        <w:rPr>
          <w:color w:val="FF0000"/>
        </w:rPr>
      </w:pPr>
      <w:r w:rsidRPr="00AC0D5F">
        <w:rPr>
          <w:color w:val="FF0000"/>
        </w:rPr>
        <w:t>Veiklos at</w:t>
      </w:r>
      <w:r w:rsidR="00AC4822">
        <w:rPr>
          <w:color w:val="FF0000"/>
        </w:rPr>
        <w:t>a</w:t>
      </w:r>
      <w:r w:rsidRPr="00AC0D5F">
        <w:rPr>
          <w:color w:val="FF0000"/>
        </w:rPr>
        <w:t>skaitos pavyzdinė forma</w:t>
      </w:r>
    </w:p>
    <w:p w14:paraId="04F91F4C" w14:textId="778FE8F6" w:rsidR="0030501E" w:rsidRPr="00D710BE" w:rsidRDefault="0030501E" w:rsidP="00D710BE">
      <w:pPr>
        <w:jc w:val="center"/>
        <w:rPr>
          <w:b/>
          <w:bCs/>
          <w:lang w:val="en-US"/>
        </w:rPr>
      </w:pPr>
      <w:r>
        <w:rPr>
          <w:b/>
          <w:bCs/>
        </w:rPr>
        <w:t>&lt;</w:t>
      </w:r>
      <w:r w:rsidRPr="0030501E">
        <w:rPr>
          <w:b/>
          <w:bCs/>
        </w:rPr>
        <w:t>ORGANIZACIJOS</w:t>
      </w:r>
      <w:r>
        <w:rPr>
          <w:b/>
          <w:bCs/>
        </w:rPr>
        <w:t xml:space="preserve"> PAVADINIMAS&gt;</w:t>
      </w:r>
      <w:r w:rsidRPr="0030501E">
        <w:rPr>
          <w:b/>
          <w:bCs/>
        </w:rPr>
        <w:t xml:space="preserve"> VEIKLOS ATASKAITA UŽ </w:t>
      </w:r>
      <w:r w:rsidRPr="0030501E">
        <w:rPr>
          <w:b/>
          <w:bCs/>
          <w:lang w:val="ru-RU"/>
        </w:rPr>
        <w:t xml:space="preserve">2023 </w:t>
      </w:r>
      <w:r w:rsidRPr="0030501E">
        <w:rPr>
          <w:b/>
          <w:bCs/>
          <w:lang w:val="en-US"/>
        </w:rPr>
        <w:t>METUS</w:t>
      </w:r>
    </w:p>
    <w:tbl>
      <w:tblPr>
        <w:tblStyle w:val="TableGrid"/>
        <w:tblW w:w="0" w:type="auto"/>
        <w:tblLook w:val="04A0" w:firstRow="1" w:lastRow="0" w:firstColumn="1" w:lastColumn="0" w:noHBand="0" w:noVBand="1"/>
      </w:tblPr>
      <w:tblGrid>
        <w:gridCol w:w="2965"/>
        <w:gridCol w:w="7200"/>
      </w:tblGrid>
      <w:tr w:rsidR="0030501E" w14:paraId="3255C73D" w14:textId="77777777" w:rsidTr="004655C8">
        <w:tc>
          <w:tcPr>
            <w:tcW w:w="2965" w:type="dxa"/>
          </w:tcPr>
          <w:p w14:paraId="2C37AF84" w14:textId="7841474F" w:rsidR="0030501E" w:rsidRPr="0030501E" w:rsidRDefault="0030501E" w:rsidP="0030501E">
            <w:pPr>
              <w:jc w:val="both"/>
              <w:rPr>
                <w:b/>
                <w:bCs/>
                <w:lang w:val="en-US"/>
              </w:rPr>
            </w:pPr>
            <w:r w:rsidRPr="0030501E">
              <w:rPr>
                <w:b/>
                <w:bCs/>
                <w:lang w:val="en-US"/>
              </w:rPr>
              <w:t>BENDROJI INFORMACIJA</w:t>
            </w:r>
          </w:p>
        </w:tc>
        <w:tc>
          <w:tcPr>
            <w:tcW w:w="7200" w:type="dxa"/>
          </w:tcPr>
          <w:p w14:paraId="611A1372" w14:textId="3E119037" w:rsidR="00AC0D5F" w:rsidRDefault="00AC0D5F" w:rsidP="0030501E">
            <w:pPr>
              <w:jc w:val="both"/>
            </w:pPr>
            <w:r>
              <w:t>Teisinė forma</w:t>
            </w:r>
            <w:r w:rsidR="00A66689">
              <w:t>, p</w:t>
            </w:r>
            <w:r w:rsidR="0030501E">
              <w:t>avadinimas</w:t>
            </w:r>
          </w:p>
          <w:p w14:paraId="4DE40CD7" w14:textId="169A3FD9" w:rsidR="00AC0D5F" w:rsidRDefault="00AC0D5F" w:rsidP="0030501E">
            <w:pPr>
              <w:jc w:val="both"/>
            </w:pPr>
            <w:r>
              <w:t>B</w:t>
            </w:r>
            <w:r w:rsidR="0030501E">
              <w:t>uveinė</w:t>
            </w:r>
            <w:r>
              <w:t>s adresas</w:t>
            </w:r>
          </w:p>
          <w:p w14:paraId="27A024D1" w14:textId="0BF2FF21" w:rsidR="00AC0D5F" w:rsidRDefault="00AC0D5F" w:rsidP="0030501E">
            <w:pPr>
              <w:jc w:val="both"/>
            </w:pPr>
            <w:r>
              <w:t>S</w:t>
            </w:r>
            <w:r w:rsidR="0030501E">
              <w:t>teigimo data</w:t>
            </w:r>
          </w:p>
          <w:p w14:paraId="6F55316B" w14:textId="0E7A1B8D" w:rsidR="0030501E" w:rsidRPr="00A66689" w:rsidRDefault="00AC0D5F" w:rsidP="0030501E">
            <w:pPr>
              <w:jc w:val="both"/>
            </w:pPr>
            <w:r>
              <w:t>P</w:t>
            </w:r>
            <w:r w:rsidR="0030501E">
              <w:t>aramos gavėjo statuso data</w:t>
            </w:r>
            <w:r w:rsidR="00A66689">
              <w:t xml:space="preserve">, </w:t>
            </w:r>
            <w:r w:rsidR="0030501E">
              <w:t>NVO žymos data</w:t>
            </w:r>
            <w:r w:rsidR="00A66689">
              <w:t xml:space="preserve">, </w:t>
            </w:r>
            <w:r w:rsidR="0030501E">
              <w:t xml:space="preserve">kt. </w:t>
            </w:r>
          </w:p>
        </w:tc>
      </w:tr>
      <w:tr w:rsidR="0030501E" w14:paraId="1802A3B8" w14:textId="77777777" w:rsidTr="004655C8">
        <w:tc>
          <w:tcPr>
            <w:tcW w:w="2965" w:type="dxa"/>
          </w:tcPr>
          <w:p w14:paraId="1FC94242" w14:textId="20627A86" w:rsidR="0030501E" w:rsidRPr="0030501E" w:rsidRDefault="0030501E" w:rsidP="0030501E">
            <w:pPr>
              <w:jc w:val="both"/>
              <w:rPr>
                <w:b/>
                <w:bCs/>
              </w:rPr>
            </w:pPr>
            <w:r w:rsidRPr="0030501E">
              <w:rPr>
                <w:b/>
                <w:bCs/>
                <w:lang w:val="en-US"/>
              </w:rPr>
              <w:t>STRUKT</w:t>
            </w:r>
            <w:r w:rsidRPr="0030501E">
              <w:rPr>
                <w:b/>
                <w:bCs/>
              </w:rPr>
              <w:t>ŪRA</w:t>
            </w:r>
          </w:p>
        </w:tc>
        <w:tc>
          <w:tcPr>
            <w:tcW w:w="7200" w:type="dxa"/>
          </w:tcPr>
          <w:p w14:paraId="357A7E03" w14:textId="1A454358" w:rsidR="00AC0D5F" w:rsidRPr="00AC0D5F" w:rsidRDefault="00AC0D5F" w:rsidP="0030501E">
            <w:pPr>
              <w:jc w:val="both"/>
              <w:rPr>
                <w:b/>
                <w:bCs/>
                <w:lang w:val="en-US"/>
              </w:rPr>
            </w:pPr>
            <w:r w:rsidRPr="00AC0D5F">
              <w:rPr>
                <w:b/>
                <w:bCs/>
                <w:lang w:val="en-US"/>
              </w:rPr>
              <w:t xml:space="preserve">ASOCIACIJAI: </w:t>
            </w:r>
          </w:p>
          <w:p w14:paraId="0E9757AB" w14:textId="792FAFDC" w:rsidR="0030501E" w:rsidRDefault="0030501E" w:rsidP="0030501E">
            <w:pPr>
              <w:jc w:val="both"/>
            </w:pPr>
            <w:r w:rsidRPr="00AC0D5F">
              <w:rPr>
                <w:u w:val="single"/>
              </w:rPr>
              <w:t>Narių skaičius</w:t>
            </w:r>
            <w:r>
              <w:t xml:space="preserve"> </w:t>
            </w:r>
            <w:r w:rsidR="00AC0D5F">
              <w:t>praėjusių metų pabaigoje (</w:t>
            </w:r>
            <w:r w:rsidR="00AC0D5F">
              <w:rPr>
                <w:lang w:val="ru-RU"/>
              </w:rPr>
              <w:t>2022-12-31)</w:t>
            </w:r>
            <w:r>
              <w:t xml:space="preserve"> ir </w:t>
            </w:r>
            <w:r w:rsidR="00AC0D5F">
              <w:t xml:space="preserve">ataskaitinių </w:t>
            </w:r>
            <w:r>
              <w:t>metų pabaigoje</w:t>
            </w:r>
            <w:r w:rsidR="00AC0D5F">
              <w:rPr>
                <w:lang w:val="ru-RU"/>
              </w:rPr>
              <w:t xml:space="preserve"> (2023-12-31)</w:t>
            </w:r>
            <w:r>
              <w:t xml:space="preserve">: </w:t>
            </w:r>
          </w:p>
          <w:p w14:paraId="42DD44D4" w14:textId="04FB6C59" w:rsidR="0030501E" w:rsidRDefault="0030501E" w:rsidP="0030501E">
            <w:pPr>
              <w:jc w:val="both"/>
            </w:pPr>
            <w:r>
              <w:t>- Fiziniai (tik skaičiai, nurodant, jog</w:t>
            </w:r>
            <w:r w:rsidR="00AC0D5F">
              <w:t xml:space="preserve"> tai</w:t>
            </w:r>
            <w:r>
              <w:t xml:space="preserve"> tik fiziniai) </w:t>
            </w:r>
          </w:p>
          <w:p w14:paraId="6DD177A1" w14:textId="77777777" w:rsidR="0030501E" w:rsidRDefault="0030501E" w:rsidP="0030501E">
            <w:pPr>
              <w:jc w:val="both"/>
            </w:pPr>
            <w:r>
              <w:t>- Juridiniai (JAR kodas, teisinė forma, pavadinimas)</w:t>
            </w:r>
          </w:p>
          <w:p w14:paraId="56800622" w14:textId="1DA9E3B5" w:rsidR="00AC0D5F" w:rsidRDefault="00AC0D5F" w:rsidP="0030501E">
            <w:pPr>
              <w:jc w:val="both"/>
            </w:pPr>
            <w:r>
              <w:t>Vadovas/pirmininkas, valdyba/taryba, darbuotojai, savanoriai.</w:t>
            </w:r>
          </w:p>
          <w:p w14:paraId="7AE43109" w14:textId="77777777" w:rsidR="00AC0D5F" w:rsidRDefault="00AC0D5F" w:rsidP="0030501E">
            <w:pPr>
              <w:jc w:val="both"/>
            </w:pPr>
          </w:p>
          <w:p w14:paraId="03668A41" w14:textId="19916BE0" w:rsidR="00AC0D5F" w:rsidRPr="00AC0D5F" w:rsidRDefault="00AC0D5F" w:rsidP="0030501E">
            <w:pPr>
              <w:jc w:val="both"/>
              <w:rPr>
                <w:b/>
                <w:bCs/>
              </w:rPr>
            </w:pPr>
            <w:r w:rsidRPr="00AC0D5F">
              <w:rPr>
                <w:b/>
                <w:bCs/>
              </w:rPr>
              <w:t>VIEŠĄJAI ĮSTAIGAI:</w:t>
            </w:r>
          </w:p>
          <w:p w14:paraId="5AA58BD4" w14:textId="455CCEC0" w:rsidR="00AC0D5F" w:rsidRDefault="00AC0D5F" w:rsidP="0030501E">
            <w:pPr>
              <w:jc w:val="both"/>
            </w:pPr>
            <w:r w:rsidRPr="00AC0D5F">
              <w:rPr>
                <w:u w:val="single"/>
              </w:rPr>
              <w:t>Dalininkų skaičius ir kiekvieno jų įnašų vertė</w:t>
            </w:r>
            <w:r>
              <w:t xml:space="preserve"> praėjusių metų pabaigoje (</w:t>
            </w:r>
            <w:r>
              <w:rPr>
                <w:lang w:val="ru-RU"/>
              </w:rPr>
              <w:t>2022-12-31)</w:t>
            </w:r>
            <w:r>
              <w:t xml:space="preserve"> ir ataskaitinių metų pabaigoje</w:t>
            </w:r>
            <w:r>
              <w:rPr>
                <w:lang w:val="ru-RU"/>
              </w:rPr>
              <w:t xml:space="preserve"> (2023-12-31)</w:t>
            </w:r>
            <w:r>
              <w:t>:</w:t>
            </w:r>
          </w:p>
          <w:p w14:paraId="5016C465" w14:textId="77777777" w:rsidR="00AC0D5F" w:rsidRDefault="00AC0D5F" w:rsidP="00AC0D5F">
            <w:pPr>
              <w:jc w:val="both"/>
            </w:pPr>
            <w:r>
              <w:t xml:space="preserve">- Fiziniai (tik skaičiai, nurodant, jog tik fiziniai) </w:t>
            </w:r>
          </w:p>
          <w:p w14:paraId="48F68D1D" w14:textId="7D7FBAC6" w:rsidR="00AC0D5F" w:rsidRDefault="00AC0D5F" w:rsidP="00AC0D5F">
            <w:pPr>
              <w:jc w:val="both"/>
            </w:pPr>
            <w:r>
              <w:t>- Juridiniai (JAR kodas, teisinė forma, pavadinimas)</w:t>
            </w:r>
          </w:p>
          <w:p w14:paraId="0BC2BAFE" w14:textId="488C49C3" w:rsidR="00AC0D5F" w:rsidRDefault="00AC0D5F" w:rsidP="00AC0D5F">
            <w:pPr>
              <w:jc w:val="both"/>
            </w:pPr>
            <w:r>
              <w:t>Vadovas/pirmininkas, valdyba/taryba, darbuotojai, savanoriai.</w:t>
            </w:r>
          </w:p>
          <w:p w14:paraId="6D43761A" w14:textId="77777777" w:rsidR="00AC0D5F" w:rsidRDefault="00AC0D5F" w:rsidP="0030501E">
            <w:pPr>
              <w:jc w:val="both"/>
            </w:pPr>
          </w:p>
          <w:p w14:paraId="37A80748" w14:textId="29784632" w:rsidR="00AC0D5F" w:rsidRPr="004655C8" w:rsidRDefault="00AC0D5F" w:rsidP="0030501E">
            <w:pPr>
              <w:jc w:val="both"/>
              <w:rPr>
                <w:b/>
                <w:bCs/>
              </w:rPr>
            </w:pPr>
            <w:r w:rsidRPr="00AC0D5F">
              <w:rPr>
                <w:b/>
                <w:bCs/>
              </w:rPr>
              <w:t>LABDAROS IR PARAMOS FONDUI:</w:t>
            </w:r>
          </w:p>
          <w:p w14:paraId="53D52EAC" w14:textId="233F9779" w:rsidR="00AC0D5F" w:rsidRDefault="00AC0D5F" w:rsidP="00AC0D5F">
            <w:pPr>
              <w:jc w:val="both"/>
            </w:pPr>
            <w:r w:rsidRPr="00AC0D5F">
              <w:rPr>
                <w:u w:val="single"/>
              </w:rPr>
              <w:t>Dalininkų skaičius</w:t>
            </w:r>
            <w:r>
              <w:t xml:space="preserve"> praėjusių metų pabaigoje (</w:t>
            </w:r>
            <w:r>
              <w:rPr>
                <w:lang w:val="ru-RU"/>
              </w:rPr>
              <w:t>2022-12-31)</w:t>
            </w:r>
            <w:r>
              <w:t xml:space="preserve"> ir ataskaitinių metų pabaigoje</w:t>
            </w:r>
            <w:r>
              <w:rPr>
                <w:lang w:val="ru-RU"/>
              </w:rPr>
              <w:t xml:space="preserve"> (2023-12-31)</w:t>
            </w:r>
            <w:r>
              <w:t>:</w:t>
            </w:r>
          </w:p>
          <w:p w14:paraId="346C5BCB" w14:textId="77777777" w:rsidR="00AC0D5F" w:rsidRDefault="00AC0D5F" w:rsidP="00AC0D5F">
            <w:pPr>
              <w:jc w:val="both"/>
            </w:pPr>
            <w:r>
              <w:t xml:space="preserve">- Fiziniai (tik skaičiai, nurodant, jog tik fiziniai) </w:t>
            </w:r>
          </w:p>
          <w:p w14:paraId="73A0CD0F" w14:textId="282D33DE" w:rsidR="00AC0D5F" w:rsidRDefault="00AC0D5F" w:rsidP="00AC0D5F">
            <w:pPr>
              <w:jc w:val="both"/>
            </w:pPr>
            <w:r>
              <w:t>- Juridiniai (JAR kodas, teisinė forma, pavadinimas)</w:t>
            </w:r>
          </w:p>
          <w:p w14:paraId="06FFA251" w14:textId="59A2C7F6" w:rsidR="00AC0D5F" w:rsidRPr="00AC0D5F" w:rsidRDefault="00AC0D5F" w:rsidP="0030501E">
            <w:pPr>
              <w:jc w:val="both"/>
            </w:pPr>
            <w:r>
              <w:t>Vadovas/pirmininkas, valdyba/taryba, darbuotojai, savanoriai.</w:t>
            </w:r>
          </w:p>
        </w:tc>
      </w:tr>
      <w:tr w:rsidR="0030501E" w14:paraId="465D046D" w14:textId="77777777" w:rsidTr="004655C8">
        <w:tc>
          <w:tcPr>
            <w:tcW w:w="2965" w:type="dxa"/>
          </w:tcPr>
          <w:p w14:paraId="384F765A" w14:textId="7904A8E6" w:rsidR="0030501E" w:rsidRPr="0030501E" w:rsidRDefault="0030501E" w:rsidP="0030501E">
            <w:pPr>
              <w:jc w:val="both"/>
              <w:rPr>
                <w:b/>
                <w:bCs/>
                <w:lang w:val="en-US"/>
              </w:rPr>
            </w:pPr>
            <w:r w:rsidRPr="0030501E">
              <w:rPr>
                <w:b/>
                <w:bCs/>
                <w:lang w:val="en-US"/>
              </w:rPr>
              <w:t>VEIKLOS TIKSLAI IR UŽDAVINIAI</w:t>
            </w:r>
          </w:p>
        </w:tc>
        <w:tc>
          <w:tcPr>
            <w:tcW w:w="7200" w:type="dxa"/>
          </w:tcPr>
          <w:p w14:paraId="5B7C307D" w14:textId="11853C34" w:rsidR="0030501E" w:rsidRDefault="0030501E" w:rsidP="0030501E">
            <w:pPr>
              <w:jc w:val="both"/>
              <w:rPr>
                <w:lang w:val="en-US"/>
              </w:rPr>
            </w:pPr>
            <w:r>
              <w:t>Trumpa informacija (iš strategijos ar įstatų</w:t>
            </w:r>
            <w:r w:rsidR="00AC0D5F">
              <w:t>,</w:t>
            </w:r>
            <w:r>
              <w:t xml:space="preserve"> tik nereikia </w:t>
            </w:r>
            <w:r w:rsidR="00AC0D5F">
              <w:t>vardinti</w:t>
            </w:r>
            <w:r>
              <w:t xml:space="preserve"> BVPŽ kod</w:t>
            </w:r>
            <w:r w:rsidR="00AC0D5F">
              <w:t>ų</w:t>
            </w:r>
            <w:r>
              <w:t>)</w:t>
            </w:r>
          </w:p>
        </w:tc>
      </w:tr>
      <w:tr w:rsidR="0030501E" w14:paraId="1190E3C6" w14:textId="77777777" w:rsidTr="004655C8">
        <w:tc>
          <w:tcPr>
            <w:tcW w:w="2965" w:type="dxa"/>
          </w:tcPr>
          <w:p w14:paraId="797F9B57" w14:textId="346863F6" w:rsidR="0030501E" w:rsidRPr="0030501E" w:rsidRDefault="0030501E" w:rsidP="0030501E">
            <w:pPr>
              <w:jc w:val="both"/>
              <w:rPr>
                <w:b/>
                <w:bCs/>
                <w:lang w:val="en-US"/>
              </w:rPr>
            </w:pPr>
            <w:r w:rsidRPr="0030501E">
              <w:rPr>
                <w:b/>
                <w:bCs/>
                <w:lang w:val="en-US"/>
              </w:rPr>
              <w:t>VEIKLA, VIEŠOJI NAUDA</w:t>
            </w:r>
          </w:p>
        </w:tc>
        <w:tc>
          <w:tcPr>
            <w:tcW w:w="7200" w:type="dxa"/>
          </w:tcPr>
          <w:p w14:paraId="7BFE769F" w14:textId="4BFC9210" w:rsidR="00D710BE" w:rsidRDefault="0030501E" w:rsidP="0030501E">
            <w:pPr>
              <w:jc w:val="both"/>
            </w:pPr>
            <w:r>
              <w:t>Aprašomoji dalis</w:t>
            </w:r>
            <w:r w:rsidR="00916245">
              <w:t xml:space="preserve"> (parodant patirtį ir gebėjimus)</w:t>
            </w:r>
            <w:r>
              <w:t xml:space="preserve">: </w:t>
            </w:r>
          </w:p>
          <w:p w14:paraId="2F775F54" w14:textId="3FF234A2" w:rsidR="0030501E" w:rsidRPr="00916245" w:rsidRDefault="0030501E" w:rsidP="0030501E">
            <w:pPr>
              <w:jc w:val="both"/>
            </w:pPr>
            <w:r>
              <w:t>projektinė veikla</w:t>
            </w:r>
            <w:r w:rsidR="00916245">
              <w:t xml:space="preserve"> (</w:t>
            </w:r>
            <w:r w:rsidR="00D710BE">
              <w:t>išvardinti ne tik projektų pavadinimus, bet ir parodyti jų tikslus,</w:t>
            </w:r>
            <w:r w:rsidR="00916245">
              <w:t xml:space="preserve"> </w:t>
            </w:r>
            <w:r w:rsidR="00D710BE">
              <w:t>veiklas, biudžetą</w:t>
            </w:r>
            <w:r w:rsidR="00916245">
              <w:t xml:space="preserve">), </w:t>
            </w:r>
            <w:r>
              <w:t>renginių organizavimas</w:t>
            </w:r>
            <w:r w:rsidR="00916245">
              <w:t xml:space="preserve">, </w:t>
            </w:r>
            <w:r>
              <w:t>viešų</w:t>
            </w:r>
            <w:r w:rsidR="00916245">
              <w:t>jų</w:t>
            </w:r>
            <w:r>
              <w:t xml:space="preserve"> paslaugų teikimas</w:t>
            </w:r>
            <w:r w:rsidR="00916245">
              <w:t xml:space="preserve">, </w:t>
            </w:r>
            <w:r>
              <w:t>paslaugų pardavimai, bendradarbiavimas ir kt.</w:t>
            </w:r>
          </w:p>
        </w:tc>
      </w:tr>
      <w:tr w:rsidR="0030501E" w14:paraId="1620EA48" w14:textId="77777777" w:rsidTr="004655C8">
        <w:tc>
          <w:tcPr>
            <w:tcW w:w="2965" w:type="dxa"/>
          </w:tcPr>
          <w:p w14:paraId="7E7ED6A0" w14:textId="6394D857" w:rsidR="0030501E" w:rsidRPr="0030501E" w:rsidRDefault="0030501E" w:rsidP="0030501E">
            <w:pPr>
              <w:jc w:val="both"/>
              <w:rPr>
                <w:b/>
                <w:bCs/>
                <w:lang w:val="en-US"/>
              </w:rPr>
            </w:pPr>
            <w:r w:rsidRPr="0030501E">
              <w:rPr>
                <w:b/>
                <w:bCs/>
                <w:lang w:val="en-US"/>
              </w:rPr>
              <w:t xml:space="preserve">KITŲ METŲ VEIKLOS TIKSLAI, UŽDAVINIAI, VEIKLA </w:t>
            </w:r>
          </w:p>
        </w:tc>
        <w:tc>
          <w:tcPr>
            <w:tcW w:w="7200" w:type="dxa"/>
          </w:tcPr>
          <w:p w14:paraId="62FCC510" w14:textId="394DBB86" w:rsidR="0030501E" w:rsidRDefault="0030501E" w:rsidP="0030501E">
            <w:pPr>
              <w:jc w:val="both"/>
              <w:rPr>
                <w:lang w:val="en-US"/>
              </w:rPr>
            </w:pPr>
            <w:r>
              <w:t xml:space="preserve">Vienas sakinys, kad kitų metų </w:t>
            </w:r>
            <w:r w:rsidR="00916245">
              <w:t>tikslai, uždaviniai ir veiklos</w:t>
            </w:r>
            <w:r>
              <w:t xml:space="preserve"> nesikeičia nuo ataskaitinių </w:t>
            </w:r>
            <w:r w:rsidR="00916245">
              <w:t xml:space="preserve">metų tikslų, uždavinių ir veiklų </w:t>
            </w:r>
            <w:r>
              <w:t xml:space="preserve">arba </w:t>
            </w:r>
            <w:r w:rsidR="00916245">
              <w:t xml:space="preserve">galima išvardinti </w:t>
            </w:r>
            <w:r>
              <w:t>ką planuojate</w:t>
            </w:r>
            <w:r w:rsidR="00916245">
              <w:t xml:space="preserve"> nuveikti. </w:t>
            </w:r>
          </w:p>
        </w:tc>
      </w:tr>
    </w:tbl>
    <w:p w14:paraId="39F7AC97" w14:textId="7B5383E0" w:rsidR="00AC4822" w:rsidRPr="00F11B1A" w:rsidRDefault="00AC4822" w:rsidP="00F11B1A">
      <w:pPr>
        <w:jc w:val="center"/>
        <w:rPr>
          <w:b/>
          <w:bCs/>
        </w:rPr>
      </w:pPr>
      <w:r w:rsidRPr="00F11B1A">
        <w:rPr>
          <w:b/>
          <w:bCs/>
        </w:rPr>
        <w:t xml:space="preserve">Veiklos ataskaita turi būti pasirašyta, patvirtinta visuotiniame narių/dalininkų susirinkime ir įkelta į Registrų centro sistemą </w:t>
      </w:r>
      <w:r w:rsidRPr="00F11B1A">
        <w:rPr>
          <w:b/>
          <w:bCs/>
          <w:u w:val="single"/>
        </w:rPr>
        <w:t>su parašais!</w:t>
      </w:r>
    </w:p>
    <w:p w14:paraId="79833D80" w14:textId="6E9A9A31" w:rsidR="0030501E" w:rsidRPr="00AC4822" w:rsidRDefault="00A66689" w:rsidP="00AC4822">
      <w:pPr>
        <w:jc w:val="both"/>
        <w:rPr>
          <w:lang w:val="en-US"/>
        </w:rPr>
      </w:pPr>
      <w:r w:rsidRPr="00AC4822">
        <w:t>Veiklos ataskaita turi būti „draugiška“ skaitytojui</w:t>
      </w:r>
      <w:r w:rsidR="00AC4822" w:rsidRPr="00AC4822">
        <w:t xml:space="preserve">, </w:t>
      </w:r>
      <w:proofErr w:type="spellStart"/>
      <w:r w:rsidR="00AC4822" w:rsidRPr="00AC4822">
        <w:t>t.y</w:t>
      </w:r>
      <w:proofErr w:type="spellEnd"/>
      <w:r w:rsidR="00AC4822" w:rsidRPr="00AC4822">
        <w:t>. turi būti lengvai skaitoma (vengti vientiso teksto ir nuasmeninti aprašomąją dalį (neturi būti „aš“, „</w:t>
      </w:r>
      <w:r w:rsidR="00AC4822">
        <w:t>džiaugiuosi</w:t>
      </w:r>
      <w:r w:rsidR="00AC4822" w:rsidRPr="00AC4822">
        <w:t>“</w:t>
      </w:r>
      <w:r w:rsidR="00AC4822">
        <w:t xml:space="preserve"> ir pan.</w:t>
      </w:r>
      <w:r w:rsidR="00AC4822" w:rsidRPr="00AC4822">
        <w:t>, galima papildyti nuotraukomis)</w:t>
      </w:r>
    </w:p>
    <w:p w14:paraId="74A19FDE" w14:textId="6FA9BFF7" w:rsidR="00AC4822" w:rsidRPr="00AC4822" w:rsidRDefault="00AC4822" w:rsidP="00AC4822">
      <w:pPr>
        <w:jc w:val="both"/>
        <w:rPr>
          <w:noProof/>
          <w:lang w:val="en-US"/>
        </w:rPr>
      </w:pPr>
      <w:r w:rsidRPr="00AC4822">
        <w:rPr>
          <w:noProof/>
        </w:rPr>
        <w:t>Visas ataskaitų rinkinys parodo, kaip efektyviai veikia jūsų organizacija, kaip jūs, su savo resursais, pasiekiate įstatuose užsibrėžtus tikslus. Iš ataskaitos gaunami svarbiausi duomenys apie jūsų organizacijos veiklą, jos valdymą, apie organizacijos tvarumą, veiklos tęstinumą, finansavimo šaltinius, gebėjimą efektyviai panaudoti ir administruoti finansavimo lėšas ir svarbiausia apie jūsų skaidrumą</w:t>
      </w:r>
      <w:r w:rsidR="00B833CF">
        <w:rPr>
          <w:noProof/>
        </w:rPr>
        <w:t xml:space="preserve"> - </w:t>
      </w:r>
      <w:r w:rsidRPr="00AC4822">
        <w:rPr>
          <w:noProof/>
        </w:rPr>
        <w:t xml:space="preserve"> </w:t>
      </w:r>
      <w:r w:rsidR="004655C8">
        <w:rPr>
          <w:noProof/>
        </w:rPr>
        <w:t>jūs</w:t>
      </w:r>
      <w:r w:rsidRPr="00AC4822">
        <w:rPr>
          <w:noProof/>
        </w:rPr>
        <w:t xml:space="preserve"> parodo</w:t>
      </w:r>
      <w:r w:rsidR="004655C8">
        <w:rPr>
          <w:noProof/>
        </w:rPr>
        <w:t>t</w:t>
      </w:r>
      <w:r w:rsidRPr="00AC4822">
        <w:rPr>
          <w:noProof/>
        </w:rPr>
        <w:t>e, kad tinkamai naudoja</w:t>
      </w:r>
      <w:r w:rsidR="004655C8">
        <w:rPr>
          <w:noProof/>
        </w:rPr>
        <w:t>t</w:t>
      </w:r>
      <w:r w:rsidRPr="00AC4822">
        <w:rPr>
          <w:noProof/>
        </w:rPr>
        <w:t xml:space="preserve">e viešus finansus.  </w:t>
      </w:r>
    </w:p>
    <w:p w14:paraId="2E9D943C" w14:textId="5619E91F" w:rsidR="00A66689" w:rsidRPr="00AC4822" w:rsidRDefault="00AC4822" w:rsidP="00AC4822">
      <w:pPr>
        <w:jc w:val="center"/>
        <w:rPr>
          <w:color w:val="FF0000"/>
        </w:rPr>
      </w:pPr>
      <w:r w:rsidRPr="00AC4822">
        <w:rPr>
          <w:color w:val="FF0000"/>
        </w:rPr>
        <w:t xml:space="preserve">Dėl ataskaitų nepateikimo -  galima netekti  paramos gavėjo statuso,  NVO žymos, o dėl netinkamai parengtų ataskaitų -  net ir finansavimo galimybių.  </w:t>
      </w:r>
    </w:p>
    <w:p w14:paraId="458D3E84" w14:textId="51295344" w:rsidR="00A66689" w:rsidRPr="00AC0D5F" w:rsidRDefault="009A0F00" w:rsidP="00AC0D5F">
      <w:pPr>
        <w:jc w:val="center"/>
        <w:rPr>
          <w:color w:val="FF0000"/>
          <w:lang w:val="en-US"/>
        </w:rPr>
      </w:pPr>
      <w:r w:rsidRPr="00A66689">
        <w:rPr>
          <w:noProof/>
          <w:color w:val="FF0000"/>
        </w:rPr>
        <w:lastRenderedPageBreak/>
        <mc:AlternateContent>
          <mc:Choice Requires="wps">
            <w:drawing>
              <wp:anchor distT="0" distB="0" distL="114300" distR="114300" simplePos="0" relativeHeight="251659264" behindDoc="0" locked="0" layoutInCell="1" allowOverlap="1" wp14:anchorId="4A05FCF6" wp14:editId="01E7AE5A">
                <wp:simplePos x="0" y="0"/>
                <wp:positionH relativeFrom="column">
                  <wp:posOffset>-184150</wp:posOffset>
                </wp:positionH>
                <wp:positionV relativeFrom="paragraph">
                  <wp:posOffset>3618865</wp:posOffset>
                </wp:positionV>
                <wp:extent cx="6667500" cy="5130800"/>
                <wp:effectExtent l="0" t="0" r="0" b="0"/>
                <wp:wrapNone/>
                <wp:docPr id="27" name="TextBox 26">
                  <a:extLst xmlns:a="http://schemas.openxmlformats.org/drawingml/2006/main">
                    <a:ext uri="{FF2B5EF4-FFF2-40B4-BE49-F238E27FC236}">
                      <a16:creationId xmlns:a16="http://schemas.microsoft.com/office/drawing/2014/main" id="{1B996980-3525-1BC6-C0FF-D500005CB148}"/>
                    </a:ext>
                  </a:extLst>
                </wp:docPr>
                <wp:cNvGraphicFramePr/>
                <a:graphic xmlns:a="http://schemas.openxmlformats.org/drawingml/2006/main">
                  <a:graphicData uri="http://schemas.microsoft.com/office/word/2010/wordprocessingShape">
                    <wps:wsp>
                      <wps:cNvSpPr txBox="1"/>
                      <wps:spPr>
                        <a:xfrm>
                          <a:off x="0" y="0"/>
                          <a:ext cx="6667500" cy="5130800"/>
                        </a:xfrm>
                        <a:prstGeom prst="rect">
                          <a:avLst/>
                        </a:prstGeom>
                        <a:noFill/>
                      </wps:spPr>
                      <wps:txbx>
                        <w:txbxContent>
                          <w:p w14:paraId="69196479" w14:textId="77777777" w:rsidR="00A66689" w:rsidRPr="00277E0C" w:rsidRDefault="00A66689" w:rsidP="00A66689">
                            <w:pPr>
                              <w:pStyle w:val="ListParagraph"/>
                              <w:numPr>
                                <w:ilvl w:val="0"/>
                                <w:numId w:val="1"/>
                              </w:numPr>
                              <w:rPr>
                                <w:rFonts w:asciiTheme="minorHAnsi" w:hAnsi="Aptos" w:cstheme="minorBidi"/>
                                <w:kern w:val="24"/>
                                <w:sz w:val="28"/>
                                <w:szCs w:val="28"/>
                                <w:lang w:val="lt-LT"/>
                              </w:rPr>
                            </w:pPr>
                            <w:r w:rsidRPr="00277E0C">
                              <w:rPr>
                                <w:rFonts w:asciiTheme="minorHAnsi" w:hAnsi="Aptos" w:cstheme="minorBidi"/>
                                <w:kern w:val="24"/>
                                <w:sz w:val="28"/>
                                <w:szCs w:val="28"/>
                                <w:lang w:val="lt-LT"/>
                              </w:rPr>
                              <w:t xml:space="preserve"> </w:t>
                            </w:r>
                            <w:r w:rsidRPr="00277E0C">
                              <w:rPr>
                                <w:rFonts w:asciiTheme="minorHAnsi" w:hAnsi="Aptos" w:cstheme="minorBidi"/>
                                <w:b/>
                                <w:bCs/>
                                <w:kern w:val="24"/>
                                <w:sz w:val="28"/>
                                <w:szCs w:val="28"/>
                                <w:lang w:val="lt-LT"/>
                              </w:rPr>
                              <w:t xml:space="preserve">Finansinės ataskaitos: </w:t>
                            </w:r>
                          </w:p>
                          <w:p w14:paraId="4F009A45" w14:textId="14571510" w:rsidR="00A66689" w:rsidRPr="00277E0C" w:rsidRDefault="00A66689" w:rsidP="00A66689">
                            <w:pPr>
                              <w:ind w:left="360"/>
                              <w:rPr>
                                <w:rFonts w:hAnsi="Aptos"/>
                                <w:kern w:val="24"/>
                                <w:sz w:val="28"/>
                                <w:szCs w:val="28"/>
                              </w:rPr>
                            </w:pPr>
                            <w:r w:rsidRPr="00277E0C">
                              <w:rPr>
                                <w:rFonts w:hAnsi="Aptos"/>
                                <w:kern w:val="24"/>
                                <w:sz w:val="28"/>
                                <w:szCs w:val="28"/>
                              </w:rPr>
                              <w:t xml:space="preserve">Finansinės būklės </w:t>
                            </w:r>
                            <w:r w:rsidRPr="00277E0C">
                              <w:rPr>
                                <w:rFonts w:hAnsi="Aptos"/>
                                <w:kern w:val="24"/>
                                <w:sz w:val="28"/>
                                <w:szCs w:val="28"/>
                                <w:lang w:val="ru-RU"/>
                              </w:rPr>
                              <w:t xml:space="preserve">+ </w:t>
                            </w:r>
                            <w:r w:rsidRPr="00277E0C">
                              <w:rPr>
                                <w:rFonts w:hAnsi="Aptos"/>
                                <w:kern w:val="24"/>
                                <w:sz w:val="28"/>
                                <w:szCs w:val="28"/>
                              </w:rPr>
                              <w:t xml:space="preserve">Veiklos rezultatų ataskaita + Aiškinamasis raštas </w:t>
                            </w:r>
                          </w:p>
                          <w:p w14:paraId="72B427E1" w14:textId="77777777" w:rsidR="00A66689" w:rsidRPr="00277E0C" w:rsidRDefault="00A66689" w:rsidP="00A66689">
                            <w:pPr>
                              <w:pStyle w:val="ListParagraph"/>
                              <w:numPr>
                                <w:ilvl w:val="0"/>
                                <w:numId w:val="1"/>
                              </w:numPr>
                              <w:rPr>
                                <w:rFonts w:asciiTheme="minorHAnsi" w:hAnsi="Aptos" w:cstheme="minorBidi"/>
                                <w:kern w:val="24"/>
                                <w:sz w:val="28"/>
                                <w:szCs w:val="28"/>
                              </w:rPr>
                            </w:pPr>
                            <w:r w:rsidRPr="00277E0C">
                              <w:rPr>
                                <w:rFonts w:asciiTheme="minorHAnsi" w:hAnsi="Aptos" w:cstheme="minorBidi"/>
                                <w:kern w:val="24"/>
                                <w:sz w:val="28"/>
                                <w:szCs w:val="28"/>
                              </w:rPr>
                              <w:t xml:space="preserve"> </w:t>
                            </w:r>
                            <w:proofErr w:type="spellStart"/>
                            <w:r w:rsidRPr="00277E0C">
                              <w:rPr>
                                <w:rFonts w:asciiTheme="minorHAnsi" w:hAnsi="Aptos" w:cstheme="minorBidi"/>
                                <w:b/>
                                <w:bCs/>
                                <w:kern w:val="24"/>
                                <w:sz w:val="28"/>
                                <w:szCs w:val="28"/>
                              </w:rPr>
                              <w:t>Veiklos</w:t>
                            </w:r>
                            <w:proofErr w:type="spellEnd"/>
                            <w:r w:rsidRPr="00277E0C">
                              <w:rPr>
                                <w:rFonts w:asciiTheme="minorHAnsi" w:hAnsi="Aptos" w:cstheme="minorBidi"/>
                                <w:b/>
                                <w:bCs/>
                                <w:kern w:val="24"/>
                                <w:sz w:val="28"/>
                                <w:szCs w:val="28"/>
                              </w:rPr>
                              <w:t xml:space="preserve"> </w:t>
                            </w:r>
                            <w:proofErr w:type="spellStart"/>
                            <w:r w:rsidRPr="00277E0C">
                              <w:rPr>
                                <w:rFonts w:asciiTheme="minorHAnsi" w:hAnsi="Aptos" w:cstheme="minorBidi"/>
                                <w:b/>
                                <w:bCs/>
                                <w:kern w:val="24"/>
                                <w:sz w:val="28"/>
                                <w:szCs w:val="28"/>
                              </w:rPr>
                              <w:t>ataskaita</w:t>
                            </w:r>
                            <w:proofErr w:type="spellEnd"/>
                            <w:r w:rsidRPr="00277E0C">
                              <w:rPr>
                                <w:rFonts w:asciiTheme="minorHAnsi" w:hAnsi="Aptos" w:cstheme="minorBidi"/>
                                <w:b/>
                                <w:bCs/>
                                <w:kern w:val="24"/>
                                <w:sz w:val="28"/>
                                <w:szCs w:val="28"/>
                              </w:rPr>
                              <w:t xml:space="preserve"> </w:t>
                            </w:r>
                          </w:p>
                          <w:p w14:paraId="34B6C7A3" w14:textId="77777777" w:rsidR="00511E75" w:rsidRPr="00766CDB" w:rsidRDefault="00511E75" w:rsidP="00511E75">
                            <w:pPr>
                              <w:jc w:val="center"/>
                              <w:rPr>
                                <w:rFonts w:hAnsi="Aptos"/>
                                <w:color w:val="FF0000"/>
                                <w:kern w:val="24"/>
                                <w:sz w:val="32"/>
                                <w:szCs w:val="32"/>
                              </w:rPr>
                            </w:pPr>
                          </w:p>
                          <w:p w14:paraId="000BB622" w14:textId="77777777" w:rsidR="00511E75" w:rsidRPr="006F69C2" w:rsidRDefault="00511E75" w:rsidP="00511E75">
                            <w:pPr>
                              <w:jc w:val="center"/>
                              <w:rPr>
                                <w:rFonts w:hAnsi="Aptos"/>
                                <w:color w:val="FF0000"/>
                                <w:kern w:val="24"/>
                                <w:sz w:val="28"/>
                                <w:szCs w:val="28"/>
                              </w:rPr>
                            </w:pPr>
                            <w:r w:rsidRPr="006F69C2">
                              <w:rPr>
                                <w:rFonts w:hAnsi="Aptos"/>
                                <w:color w:val="FF0000"/>
                                <w:kern w:val="24"/>
                                <w:sz w:val="28"/>
                                <w:szCs w:val="28"/>
                              </w:rPr>
                              <w:t xml:space="preserve">Nuo 2019 metų yra leidžiama NVO apskaitą tvarkyti supaprastintai (netaikant dvejybinio įrašo), jeigu organizacija ataskaitiniais ir praėjusiais finansiniais metais neturi samdomų darbuotojų ir pajamos bei finansavimas kartu neviršija 30 000 eurų. </w:t>
                            </w:r>
                          </w:p>
                          <w:p w14:paraId="1EEEE7E7" w14:textId="77777777" w:rsidR="00766CDB" w:rsidRPr="006F69C2" w:rsidRDefault="00511E75" w:rsidP="00511E75">
                            <w:pPr>
                              <w:jc w:val="center"/>
                              <w:rPr>
                                <w:rFonts w:hAnsi="Aptos"/>
                                <w:color w:val="FF0000"/>
                                <w:kern w:val="24"/>
                                <w:sz w:val="28"/>
                                <w:szCs w:val="28"/>
                              </w:rPr>
                            </w:pPr>
                            <w:r w:rsidRPr="006F69C2">
                              <w:rPr>
                                <w:rFonts w:hAnsi="Aptos"/>
                                <w:color w:val="FF0000"/>
                                <w:kern w:val="24"/>
                                <w:sz w:val="28"/>
                                <w:szCs w:val="28"/>
                              </w:rPr>
                              <w:t>Tada ir metinė ataskaita Registrų centrui būtų teikiama  supaprastintos</w:t>
                            </w:r>
                            <w:r w:rsidR="00766CDB" w:rsidRPr="006F69C2">
                              <w:rPr>
                                <w:rFonts w:hAnsi="Aptos"/>
                                <w:color w:val="FF0000"/>
                                <w:kern w:val="24"/>
                                <w:sz w:val="28"/>
                                <w:szCs w:val="28"/>
                              </w:rPr>
                              <w:t xml:space="preserve"> </w:t>
                            </w:r>
                          </w:p>
                          <w:p w14:paraId="30CCE5A9" w14:textId="021A87A0" w:rsidR="00511E75" w:rsidRPr="006F69C2" w:rsidRDefault="00511E75" w:rsidP="00511E75">
                            <w:pPr>
                              <w:jc w:val="center"/>
                              <w:rPr>
                                <w:rFonts w:hAnsi="Aptos"/>
                                <w:color w:val="FF0000"/>
                                <w:kern w:val="24"/>
                                <w:sz w:val="28"/>
                                <w:szCs w:val="28"/>
                              </w:rPr>
                            </w:pPr>
                            <w:r w:rsidRPr="006F69C2">
                              <w:rPr>
                                <w:rFonts w:hAnsi="Aptos"/>
                                <w:color w:val="FF0000"/>
                                <w:kern w:val="24"/>
                                <w:sz w:val="28"/>
                                <w:szCs w:val="28"/>
                              </w:rPr>
                              <w:t xml:space="preserve"> formos (finansai ir veikla </w:t>
                            </w:r>
                            <w:r w:rsidRPr="006F69C2">
                              <w:rPr>
                                <w:rFonts w:hAnsi="Aptos"/>
                                <w:b/>
                                <w:bCs/>
                                <w:color w:val="FF0000"/>
                                <w:kern w:val="24"/>
                                <w:sz w:val="28"/>
                                <w:szCs w:val="28"/>
                              </w:rPr>
                              <w:t>viename</w:t>
                            </w:r>
                            <w:r w:rsidRPr="006F69C2">
                              <w:rPr>
                                <w:rFonts w:hAnsi="Aptos"/>
                                <w:color w:val="FF0000"/>
                                <w:kern w:val="24"/>
                                <w:sz w:val="28"/>
                                <w:szCs w:val="28"/>
                              </w:rPr>
                              <w:t xml:space="preserve"> dokumente)</w:t>
                            </w:r>
                          </w:p>
                          <w:p w14:paraId="0FB71596" w14:textId="7873C674" w:rsidR="00A66689" w:rsidRPr="00A66689" w:rsidRDefault="00766CDB" w:rsidP="00766CDB">
                            <w:pPr>
                              <w:jc w:val="center"/>
                              <w:rPr>
                                <w:rFonts w:hAnsi="Aptos"/>
                                <w:i/>
                                <w:iCs/>
                                <w:kern w:val="24"/>
                                <w:sz w:val="36"/>
                                <w:szCs w:val="36"/>
                              </w:rPr>
                            </w:pPr>
                            <w:r w:rsidRPr="00766CDB">
                              <w:rPr>
                                <w:noProof/>
                                <w:color w:val="FF0000"/>
                              </w:rPr>
                              <w:drawing>
                                <wp:inline distT="0" distB="0" distL="0" distR="0" wp14:anchorId="604D2A7A" wp14:editId="0B637E9D">
                                  <wp:extent cx="1713869" cy="1306012"/>
                                  <wp:effectExtent l="0" t="0" r="635" b="8890"/>
                                  <wp:docPr id="15" name="Picture 14" descr="Diagram&#10;&#10;Description automatically generated">
                                    <a:extLst xmlns:a="http://schemas.openxmlformats.org/drawingml/2006/main">
                                      <a:ext uri="{FF2B5EF4-FFF2-40B4-BE49-F238E27FC236}">
                                        <a16:creationId xmlns:a16="http://schemas.microsoft.com/office/drawing/2014/main" id="{12832B26-A944-844E-0F09-B63AB157DE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Diagram&#10;&#10;Description automatically generated">
                                            <a:extLst>
                                              <a:ext uri="{FF2B5EF4-FFF2-40B4-BE49-F238E27FC236}">
                                                <a16:creationId xmlns:a16="http://schemas.microsoft.com/office/drawing/2014/main" id="{12832B26-A944-844E-0F09-B63AB157DE9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13869" cy="1306012"/>
                                          </a:xfrm>
                                          <a:prstGeom prst="rect">
                                            <a:avLst/>
                                          </a:prstGeom>
                                        </pic:spPr>
                                      </pic:pic>
                                    </a:graphicData>
                                  </a:graphic>
                                </wp:inline>
                              </w:drawing>
                            </w:r>
                            <w:r w:rsidRPr="00766CDB">
                              <w:rPr>
                                <w:noProof/>
                                <w:color w:val="FF0000"/>
                              </w:rPr>
                              <w:drawing>
                                <wp:inline distT="0" distB="0" distL="0" distR="0" wp14:anchorId="707EBADF" wp14:editId="48D3F1F9">
                                  <wp:extent cx="1938634" cy="495300"/>
                                  <wp:effectExtent l="0" t="0" r="5080" b="0"/>
                                  <wp:docPr id="20" name="Picture 19" descr="A picture containing company name&#10;&#10;Description automatically generated">
                                    <a:extLst xmlns:a="http://schemas.openxmlformats.org/drawingml/2006/main">
                                      <a:ext uri="{FF2B5EF4-FFF2-40B4-BE49-F238E27FC236}">
                                        <a16:creationId xmlns:a16="http://schemas.microsoft.com/office/drawing/2014/main" id="{D6FDF73C-4CFA-3A58-5226-4EEF6819B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picture containing company name&#10;&#10;Description automatically generated">
                                            <a:extLst>
                                              <a:ext uri="{FF2B5EF4-FFF2-40B4-BE49-F238E27FC236}">
                                                <a16:creationId xmlns:a16="http://schemas.microsoft.com/office/drawing/2014/main" id="{D6FDF73C-4CFA-3A58-5226-4EEF6819B45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42846" cy="496376"/>
                                          </a:xfrm>
                                          <a:prstGeom prst="rect">
                                            <a:avLst/>
                                          </a:prstGeom>
                                        </pic:spPr>
                                      </pic:pic>
                                    </a:graphicData>
                                  </a:graphic>
                                </wp:inline>
                              </w:drawing>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A05FCF6" id="_x0000_t202" coordsize="21600,21600" o:spt="202" path="m,l,21600r21600,l21600,xe">
                <v:stroke joinstyle="miter"/>
                <v:path gradientshapeok="t" o:connecttype="rect"/>
              </v:shapetype>
              <v:shape id="TextBox 26" o:spid="_x0000_s1026" type="#_x0000_t202" style="position:absolute;left:0;text-align:left;margin-left:-14.5pt;margin-top:284.95pt;width:52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" filled="f" stroked="f">
                <v:textbox>
                  <w:txbxContent>
                    <w:p w14:paraId="69196479" w14:textId="77777777" w:rsidR="00A66689" w:rsidRPr="00277E0C" w:rsidRDefault="00A66689" w:rsidP="00A66689">
                      <w:pPr>
                        <w:pStyle w:val="ListParagraph"/>
                        <w:numPr>
                          <w:ilvl w:val="0"/>
                          <w:numId w:val="1"/>
                        </w:numPr>
                        <w:rPr>
                          <w:rFonts w:asciiTheme="minorHAnsi" w:hAnsi="Aptos" w:cstheme="minorBidi"/>
                          <w:kern w:val="24"/>
                          <w:sz w:val="28"/>
                          <w:szCs w:val="28"/>
                          <w:lang w:val="lt-LT"/>
                        </w:rPr>
                      </w:pPr>
                      <w:r w:rsidRPr="00277E0C">
                        <w:rPr>
                          <w:rFonts w:asciiTheme="minorHAnsi" w:hAnsi="Aptos" w:cstheme="minorBidi"/>
                          <w:kern w:val="24"/>
                          <w:sz w:val="28"/>
                          <w:szCs w:val="28"/>
                          <w:lang w:val="lt-LT"/>
                        </w:rPr>
                        <w:t xml:space="preserve"> </w:t>
                      </w:r>
                      <w:r w:rsidRPr="00277E0C">
                        <w:rPr>
                          <w:rFonts w:asciiTheme="minorHAnsi" w:hAnsi="Aptos" w:cstheme="minorBidi"/>
                          <w:b/>
                          <w:bCs/>
                          <w:kern w:val="24"/>
                          <w:sz w:val="28"/>
                          <w:szCs w:val="28"/>
                          <w:lang w:val="lt-LT"/>
                        </w:rPr>
                        <w:t xml:space="preserve">Finansinės ataskaitos: </w:t>
                      </w:r>
                    </w:p>
                    <w:p w14:paraId="4F009A45" w14:textId="14571510" w:rsidR="00A66689" w:rsidRPr="00277E0C" w:rsidRDefault="00A66689" w:rsidP="00A66689">
                      <w:pPr>
                        <w:ind w:left="360"/>
                        <w:rPr>
                          <w:rFonts w:hAnsi="Aptos"/>
                          <w:kern w:val="24"/>
                          <w:sz w:val="28"/>
                          <w:szCs w:val="28"/>
                        </w:rPr>
                      </w:pPr>
                      <w:r w:rsidRPr="00277E0C">
                        <w:rPr>
                          <w:rFonts w:hAnsi="Aptos"/>
                          <w:kern w:val="24"/>
                          <w:sz w:val="28"/>
                          <w:szCs w:val="28"/>
                        </w:rPr>
                        <w:t xml:space="preserve">Finansinės būklės </w:t>
                      </w:r>
                      <w:r w:rsidRPr="00277E0C">
                        <w:rPr>
                          <w:rFonts w:hAnsi="Aptos"/>
                          <w:kern w:val="24"/>
                          <w:sz w:val="28"/>
                          <w:szCs w:val="28"/>
                          <w:lang w:val="ru-RU"/>
                        </w:rPr>
                        <w:t xml:space="preserve">+ </w:t>
                      </w:r>
                      <w:r w:rsidRPr="00277E0C">
                        <w:rPr>
                          <w:rFonts w:hAnsi="Aptos"/>
                          <w:kern w:val="24"/>
                          <w:sz w:val="28"/>
                          <w:szCs w:val="28"/>
                        </w:rPr>
                        <w:t xml:space="preserve">Veiklos rezultatų ataskaita + Aiškinamasis raštas </w:t>
                      </w:r>
                    </w:p>
                    <w:p w14:paraId="72B427E1" w14:textId="77777777" w:rsidR="00A66689" w:rsidRPr="00277E0C" w:rsidRDefault="00A66689" w:rsidP="00A66689">
                      <w:pPr>
                        <w:pStyle w:val="ListParagraph"/>
                        <w:numPr>
                          <w:ilvl w:val="0"/>
                          <w:numId w:val="1"/>
                        </w:numPr>
                        <w:rPr>
                          <w:rFonts w:asciiTheme="minorHAnsi" w:hAnsi="Aptos" w:cstheme="minorBidi"/>
                          <w:kern w:val="24"/>
                          <w:sz w:val="28"/>
                          <w:szCs w:val="28"/>
                        </w:rPr>
                      </w:pPr>
                      <w:r w:rsidRPr="00277E0C">
                        <w:rPr>
                          <w:rFonts w:asciiTheme="minorHAnsi" w:hAnsi="Aptos" w:cstheme="minorBidi"/>
                          <w:kern w:val="24"/>
                          <w:sz w:val="28"/>
                          <w:szCs w:val="28"/>
                        </w:rPr>
                        <w:t xml:space="preserve"> </w:t>
                      </w:r>
                      <w:proofErr w:type="spellStart"/>
                      <w:r w:rsidRPr="00277E0C">
                        <w:rPr>
                          <w:rFonts w:asciiTheme="minorHAnsi" w:hAnsi="Aptos" w:cstheme="minorBidi"/>
                          <w:b/>
                          <w:bCs/>
                          <w:kern w:val="24"/>
                          <w:sz w:val="28"/>
                          <w:szCs w:val="28"/>
                        </w:rPr>
                        <w:t>Veiklos</w:t>
                      </w:r>
                      <w:proofErr w:type="spellEnd"/>
                      <w:r w:rsidRPr="00277E0C">
                        <w:rPr>
                          <w:rFonts w:asciiTheme="minorHAnsi" w:hAnsi="Aptos" w:cstheme="minorBidi"/>
                          <w:b/>
                          <w:bCs/>
                          <w:kern w:val="24"/>
                          <w:sz w:val="28"/>
                          <w:szCs w:val="28"/>
                        </w:rPr>
                        <w:t xml:space="preserve"> </w:t>
                      </w:r>
                      <w:proofErr w:type="spellStart"/>
                      <w:r w:rsidRPr="00277E0C">
                        <w:rPr>
                          <w:rFonts w:asciiTheme="minorHAnsi" w:hAnsi="Aptos" w:cstheme="minorBidi"/>
                          <w:b/>
                          <w:bCs/>
                          <w:kern w:val="24"/>
                          <w:sz w:val="28"/>
                          <w:szCs w:val="28"/>
                        </w:rPr>
                        <w:t>ataskaita</w:t>
                      </w:r>
                      <w:proofErr w:type="spellEnd"/>
                      <w:r w:rsidRPr="00277E0C">
                        <w:rPr>
                          <w:rFonts w:asciiTheme="minorHAnsi" w:hAnsi="Aptos" w:cstheme="minorBidi"/>
                          <w:b/>
                          <w:bCs/>
                          <w:kern w:val="24"/>
                          <w:sz w:val="28"/>
                          <w:szCs w:val="28"/>
                        </w:rPr>
                        <w:t xml:space="preserve"> </w:t>
                      </w:r>
                    </w:p>
                    <w:p w14:paraId="34B6C7A3" w14:textId="77777777" w:rsidR="00511E75" w:rsidRPr="00766CDB" w:rsidRDefault="00511E75" w:rsidP="00511E75">
                      <w:pPr>
                        <w:jc w:val="center"/>
                        <w:rPr>
                          <w:rFonts w:hAnsi="Aptos"/>
                          <w:color w:val="FF0000"/>
                          <w:kern w:val="24"/>
                          <w:sz w:val="32"/>
                          <w:szCs w:val="32"/>
                        </w:rPr>
                      </w:pPr>
                    </w:p>
                    <w:p w14:paraId="000BB622" w14:textId="77777777" w:rsidR="00511E75" w:rsidRPr="006F69C2" w:rsidRDefault="00511E75" w:rsidP="00511E75">
                      <w:pPr>
                        <w:jc w:val="center"/>
                        <w:rPr>
                          <w:rFonts w:hAnsi="Aptos"/>
                          <w:color w:val="FF0000"/>
                          <w:kern w:val="24"/>
                          <w:sz w:val="28"/>
                          <w:szCs w:val="28"/>
                        </w:rPr>
                      </w:pPr>
                      <w:r w:rsidRPr="006F69C2">
                        <w:rPr>
                          <w:rFonts w:hAnsi="Aptos"/>
                          <w:color w:val="FF0000"/>
                          <w:kern w:val="24"/>
                          <w:sz w:val="28"/>
                          <w:szCs w:val="28"/>
                        </w:rPr>
                        <w:t xml:space="preserve">Nuo 2019 metų yra leidžiama NVO apskaitą tvarkyti supaprastintai (netaikant dvejybinio įrašo), jeigu organizacija ataskaitiniais ir praėjusiais finansiniais metais neturi samdomų darbuotojų ir pajamos bei finansavimas kartu neviršija 30 000 eurų. </w:t>
                      </w:r>
                    </w:p>
                    <w:p w14:paraId="1EEEE7E7" w14:textId="77777777" w:rsidR="00766CDB" w:rsidRPr="006F69C2" w:rsidRDefault="00511E75" w:rsidP="00511E75">
                      <w:pPr>
                        <w:jc w:val="center"/>
                        <w:rPr>
                          <w:rFonts w:hAnsi="Aptos"/>
                          <w:color w:val="FF0000"/>
                          <w:kern w:val="24"/>
                          <w:sz w:val="28"/>
                          <w:szCs w:val="28"/>
                        </w:rPr>
                      </w:pPr>
                      <w:r w:rsidRPr="006F69C2">
                        <w:rPr>
                          <w:rFonts w:hAnsi="Aptos"/>
                          <w:color w:val="FF0000"/>
                          <w:kern w:val="24"/>
                          <w:sz w:val="28"/>
                          <w:szCs w:val="28"/>
                        </w:rPr>
                        <w:t>Tada ir metinė ataskaita Registrų centrui būtų teikiama  supaprastintos</w:t>
                      </w:r>
                      <w:r w:rsidR="00766CDB" w:rsidRPr="006F69C2">
                        <w:rPr>
                          <w:rFonts w:hAnsi="Aptos"/>
                          <w:color w:val="FF0000"/>
                          <w:kern w:val="24"/>
                          <w:sz w:val="28"/>
                          <w:szCs w:val="28"/>
                        </w:rPr>
                        <w:t xml:space="preserve"> </w:t>
                      </w:r>
                    </w:p>
                    <w:p w14:paraId="30CCE5A9" w14:textId="021A87A0" w:rsidR="00511E75" w:rsidRPr="006F69C2" w:rsidRDefault="00511E75" w:rsidP="00511E75">
                      <w:pPr>
                        <w:jc w:val="center"/>
                        <w:rPr>
                          <w:rFonts w:hAnsi="Aptos"/>
                          <w:color w:val="FF0000"/>
                          <w:kern w:val="24"/>
                          <w:sz w:val="28"/>
                          <w:szCs w:val="28"/>
                        </w:rPr>
                      </w:pPr>
                      <w:r w:rsidRPr="006F69C2">
                        <w:rPr>
                          <w:rFonts w:hAnsi="Aptos"/>
                          <w:color w:val="FF0000"/>
                          <w:kern w:val="24"/>
                          <w:sz w:val="28"/>
                          <w:szCs w:val="28"/>
                        </w:rPr>
                        <w:t xml:space="preserve"> formos (finansai ir veikla </w:t>
                      </w:r>
                      <w:r w:rsidRPr="006F69C2">
                        <w:rPr>
                          <w:rFonts w:hAnsi="Aptos"/>
                          <w:b/>
                          <w:bCs/>
                          <w:color w:val="FF0000"/>
                          <w:kern w:val="24"/>
                          <w:sz w:val="28"/>
                          <w:szCs w:val="28"/>
                        </w:rPr>
                        <w:t>viename</w:t>
                      </w:r>
                      <w:r w:rsidRPr="006F69C2">
                        <w:rPr>
                          <w:rFonts w:hAnsi="Aptos"/>
                          <w:color w:val="FF0000"/>
                          <w:kern w:val="24"/>
                          <w:sz w:val="28"/>
                          <w:szCs w:val="28"/>
                        </w:rPr>
                        <w:t xml:space="preserve"> dokumente)</w:t>
                      </w:r>
                    </w:p>
                    <w:p w14:paraId="0FB71596" w14:textId="7873C674" w:rsidR="00A66689" w:rsidRPr="00A66689" w:rsidRDefault="00766CDB" w:rsidP="00766CDB">
                      <w:pPr>
                        <w:jc w:val="center"/>
                        <w:rPr>
                          <w:rFonts w:hAnsi="Aptos"/>
                          <w:i/>
                          <w:iCs/>
                          <w:kern w:val="24"/>
                          <w:sz w:val="36"/>
                          <w:szCs w:val="36"/>
                        </w:rPr>
                      </w:pPr>
                      <w:r w:rsidRPr="00766CDB">
                        <w:rPr>
                          <w:noProof/>
                          <w:color w:val="FF0000"/>
                        </w:rPr>
                        <w:drawing>
                          <wp:inline distT="0" distB="0" distL="0" distR="0" wp14:anchorId="604D2A7A" wp14:editId="0B637E9D">
                            <wp:extent cx="1713869" cy="1306012"/>
                            <wp:effectExtent l="0" t="0" r="635" b="8890"/>
                            <wp:docPr id="15" name="Picture 14" descr="Diagram&#10;&#10;Description automatically generated">
                              <a:extLst xmlns:a="http://schemas.openxmlformats.org/drawingml/2006/main">
                                <a:ext uri="{FF2B5EF4-FFF2-40B4-BE49-F238E27FC236}">
                                  <a16:creationId xmlns:a16="http://schemas.microsoft.com/office/drawing/2014/main" id="{12832B26-A944-844E-0F09-B63AB157DE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Diagram&#10;&#10;Description automatically generated">
                                      <a:extLst>
                                        <a:ext uri="{FF2B5EF4-FFF2-40B4-BE49-F238E27FC236}">
                                          <a16:creationId xmlns:a16="http://schemas.microsoft.com/office/drawing/2014/main" id="{12832B26-A944-844E-0F09-B63AB157DE9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13869" cy="1306012"/>
                                    </a:xfrm>
                                    <a:prstGeom prst="rect">
                                      <a:avLst/>
                                    </a:prstGeom>
                                  </pic:spPr>
                                </pic:pic>
                              </a:graphicData>
                            </a:graphic>
                          </wp:inline>
                        </w:drawing>
                      </w:r>
                      <w:r w:rsidRPr="00766CDB">
                        <w:rPr>
                          <w:noProof/>
                          <w:color w:val="FF0000"/>
                        </w:rPr>
                        <w:drawing>
                          <wp:inline distT="0" distB="0" distL="0" distR="0" wp14:anchorId="707EBADF" wp14:editId="48D3F1F9">
                            <wp:extent cx="1938634" cy="495300"/>
                            <wp:effectExtent l="0" t="0" r="5080" b="0"/>
                            <wp:docPr id="20" name="Picture 19" descr="A picture containing company name&#10;&#10;Description automatically generated">
                              <a:extLst xmlns:a="http://schemas.openxmlformats.org/drawingml/2006/main">
                                <a:ext uri="{FF2B5EF4-FFF2-40B4-BE49-F238E27FC236}">
                                  <a16:creationId xmlns:a16="http://schemas.microsoft.com/office/drawing/2014/main" id="{D6FDF73C-4CFA-3A58-5226-4EEF6819B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picture containing company name&#10;&#10;Description automatically generated">
                                      <a:extLst>
                                        <a:ext uri="{FF2B5EF4-FFF2-40B4-BE49-F238E27FC236}">
                                          <a16:creationId xmlns:a16="http://schemas.microsoft.com/office/drawing/2014/main" id="{D6FDF73C-4CFA-3A58-5226-4EEF6819B45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42846" cy="496376"/>
                                    </a:xfrm>
                                    <a:prstGeom prst="rect">
                                      <a:avLst/>
                                    </a:prstGeom>
                                  </pic:spPr>
                                </pic:pic>
                              </a:graphicData>
                            </a:graphic>
                          </wp:inline>
                        </w:drawing>
                      </w:r>
                    </w:p>
                  </w:txbxContent>
                </v:textbox>
              </v:shape>
            </w:pict>
          </mc:Fallback>
        </mc:AlternateContent>
      </w:r>
      <w:r>
        <w:rPr>
          <w:noProof/>
        </w:rPr>
        <w:drawing>
          <wp:inline distT="0" distB="0" distL="0" distR="0" wp14:anchorId="74533E56" wp14:editId="388B7210">
            <wp:extent cx="5943600" cy="3343275"/>
            <wp:effectExtent l="0" t="0" r="0" b="9525"/>
            <wp:docPr id="85651672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16723"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943600" cy="3343275"/>
                    </a:xfrm>
                    <a:prstGeom prst="rect">
                      <a:avLst/>
                    </a:prstGeom>
                  </pic:spPr>
                </pic:pic>
              </a:graphicData>
            </a:graphic>
          </wp:inline>
        </w:drawing>
      </w:r>
      <w:r w:rsidRPr="00A66689">
        <w:rPr>
          <w:color w:val="FF0000"/>
        </w:rPr>
        <w:t xml:space="preserve"> </w:t>
      </w:r>
    </w:p>
    <w:sectPr w:rsidR="00A66689" w:rsidRPr="00AC0D5F" w:rsidSect="00BD6850">
      <w:headerReference w:type="default" r:id="rId12"/>
      <w:pgSz w:w="12240" w:h="15840"/>
      <w:pgMar w:top="270" w:right="810" w:bottom="36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A085" w14:textId="77777777" w:rsidR="00BD6850" w:rsidRDefault="00BD6850" w:rsidP="00AC4822">
      <w:pPr>
        <w:spacing w:after="0" w:line="240" w:lineRule="auto"/>
      </w:pPr>
      <w:r>
        <w:separator/>
      </w:r>
    </w:p>
  </w:endnote>
  <w:endnote w:type="continuationSeparator" w:id="0">
    <w:p w14:paraId="67BA3B61" w14:textId="77777777" w:rsidR="00BD6850" w:rsidRDefault="00BD6850" w:rsidP="00AC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893E" w14:textId="77777777" w:rsidR="00BD6850" w:rsidRDefault="00BD6850" w:rsidP="00AC4822">
      <w:pPr>
        <w:spacing w:after="0" w:line="240" w:lineRule="auto"/>
      </w:pPr>
      <w:r>
        <w:separator/>
      </w:r>
    </w:p>
  </w:footnote>
  <w:footnote w:type="continuationSeparator" w:id="0">
    <w:p w14:paraId="1C1F307E" w14:textId="77777777" w:rsidR="00BD6850" w:rsidRDefault="00BD6850" w:rsidP="00AC4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4CCA" w14:textId="09A764B5" w:rsidR="00AC4822" w:rsidRPr="00AC4822" w:rsidRDefault="00AC4822">
    <w:pPr>
      <w:spacing w:line="264" w:lineRule="auto"/>
      <w:rPr>
        <w:color w:val="156082" w:themeColor="accent1"/>
        <w:sz w:val="20"/>
        <w:szCs w:val="20"/>
      </w:rPr>
    </w:pPr>
    <w:r>
      <w:rPr>
        <w:noProof/>
        <w:color w:val="000000"/>
      </w:rPr>
      <mc:AlternateContent>
        <mc:Choice Requires="wps">
          <w:drawing>
            <wp:anchor distT="0" distB="0" distL="114300" distR="114300" simplePos="0" relativeHeight="251659264" behindDoc="0" locked="0" layoutInCell="1" allowOverlap="1" wp14:anchorId="73FAD0F3" wp14:editId="782EE5DF">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DAD7EAB"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Pr>
        <w:color w:val="156082" w:themeColor="accent1"/>
        <w:sz w:val="20"/>
        <w:szCs w:val="20"/>
      </w:rPr>
      <w:t xml:space="preserve">Nevyriausybinių organizacijų informacijos ir paramos centras, </w:t>
    </w:r>
    <w:hyperlink r:id="rId1" w:history="1">
      <w:r w:rsidRPr="00BE28DD">
        <w:rPr>
          <w:rStyle w:val="Hyperlink"/>
          <w:sz w:val="20"/>
          <w:szCs w:val="20"/>
        </w:rPr>
        <w:t>www.</w:t>
      </w:r>
      <w:r w:rsidRPr="00BE28DD">
        <w:rPr>
          <w:rStyle w:val="Hyperlink"/>
          <w:sz w:val="20"/>
          <w:szCs w:val="20"/>
          <w:lang w:val="ru-RU"/>
        </w:rPr>
        <w:t>3</w:t>
      </w:r>
      <w:proofErr w:type="spellStart"/>
      <w:r w:rsidRPr="00BE28DD">
        <w:rPr>
          <w:rStyle w:val="Hyperlink"/>
          <w:sz w:val="20"/>
          <w:szCs w:val="20"/>
          <w:lang w:val="en-US"/>
        </w:rPr>
        <w:t>sektorius.lt</w:t>
      </w:r>
      <w:proofErr w:type="spellEnd"/>
    </w:hyperlink>
    <w:r>
      <w:rPr>
        <w:color w:val="156082" w:themeColor="accent1"/>
        <w:sz w:val="20"/>
        <w:szCs w:val="20"/>
        <w:lang w:val="en-US"/>
      </w:rPr>
      <w:t>, @NVOinformacijosirparamoscentras</w:t>
    </w:r>
  </w:p>
  <w:p w14:paraId="7BEB0D80" w14:textId="77777777" w:rsidR="00AC4822" w:rsidRDefault="00AC4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254BC"/>
    <w:multiLevelType w:val="hybridMultilevel"/>
    <w:tmpl w:val="FCF29E52"/>
    <w:lvl w:ilvl="0" w:tplc="1E46C4F4">
      <w:start w:val="1"/>
      <w:numFmt w:val="bullet"/>
      <w:lvlText w:val=""/>
      <w:lvlJc w:val="left"/>
      <w:pPr>
        <w:tabs>
          <w:tab w:val="num" w:pos="720"/>
        </w:tabs>
        <w:ind w:left="720" w:hanging="360"/>
      </w:pPr>
      <w:rPr>
        <w:rFonts w:ascii="Wingdings" w:hAnsi="Wingdings" w:hint="default"/>
      </w:rPr>
    </w:lvl>
    <w:lvl w:ilvl="1" w:tplc="5142E3DE" w:tentative="1">
      <w:start w:val="1"/>
      <w:numFmt w:val="bullet"/>
      <w:lvlText w:val=""/>
      <w:lvlJc w:val="left"/>
      <w:pPr>
        <w:tabs>
          <w:tab w:val="num" w:pos="1440"/>
        </w:tabs>
        <w:ind w:left="1440" w:hanging="360"/>
      </w:pPr>
      <w:rPr>
        <w:rFonts w:ascii="Wingdings" w:hAnsi="Wingdings" w:hint="default"/>
      </w:rPr>
    </w:lvl>
    <w:lvl w:ilvl="2" w:tplc="6CC063EC" w:tentative="1">
      <w:start w:val="1"/>
      <w:numFmt w:val="bullet"/>
      <w:lvlText w:val=""/>
      <w:lvlJc w:val="left"/>
      <w:pPr>
        <w:tabs>
          <w:tab w:val="num" w:pos="2160"/>
        </w:tabs>
        <w:ind w:left="2160" w:hanging="360"/>
      </w:pPr>
      <w:rPr>
        <w:rFonts w:ascii="Wingdings" w:hAnsi="Wingdings" w:hint="default"/>
      </w:rPr>
    </w:lvl>
    <w:lvl w:ilvl="3" w:tplc="DB7E16CA" w:tentative="1">
      <w:start w:val="1"/>
      <w:numFmt w:val="bullet"/>
      <w:lvlText w:val=""/>
      <w:lvlJc w:val="left"/>
      <w:pPr>
        <w:tabs>
          <w:tab w:val="num" w:pos="2880"/>
        </w:tabs>
        <w:ind w:left="2880" w:hanging="360"/>
      </w:pPr>
      <w:rPr>
        <w:rFonts w:ascii="Wingdings" w:hAnsi="Wingdings" w:hint="default"/>
      </w:rPr>
    </w:lvl>
    <w:lvl w:ilvl="4" w:tplc="A342C740" w:tentative="1">
      <w:start w:val="1"/>
      <w:numFmt w:val="bullet"/>
      <w:lvlText w:val=""/>
      <w:lvlJc w:val="left"/>
      <w:pPr>
        <w:tabs>
          <w:tab w:val="num" w:pos="3600"/>
        </w:tabs>
        <w:ind w:left="3600" w:hanging="360"/>
      </w:pPr>
      <w:rPr>
        <w:rFonts w:ascii="Wingdings" w:hAnsi="Wingdings" w:hint="default"/>
      </w:rPr>
    </w:lvl>
    <w:lvl w:ilvl="5" w:tplc="7CA8AE84" w:tentative="1">
      <w:start w:val="1"/>
      <w:numFmt w:val="bullet"/>
      <w:lvlText w:val=""/>
      <w:lvlJc w:val="left"/>
      <w:pPr>
        <w:tabs>
          <w:tab w:val="num" w:pos="4320"/>
        </w:tabs>
        <w:ind w:left="4320" w:hanging="360"/>
      </w:pPr>
      <w:rPr>
        <w:rFonts w:ascii="Wingdings" w:hAnsi="Wingdings" w:hint="default"/>
      </w:rPr>
    </w:lvl>
    <w:lvl w:ilvl="6" w:tplc="8AFA314E" w:tentative="1">
      <w:start w:val="1"/>
      <w:numFmt w:val="bullet"/>
      <w:lvlText w:val=""/>
      <w:lvlJc w:val="left"/>
      <w:pPr>
        <w:tabs>
          <w:tab w:val="num" w:pos="5040"/>
        </w:tabs>
        <w:ind w:left="5040" w:hanging="360"/>
      </w:pPr>
      <w:rPr>
        <w:rFonts w:ascii="Wingdings" w:hAnsi="Wingdings" w:hint="default"/>
      </w:rPr>
    </w:lvl>
    <w:lvl w:ilvl="7" w:tplc="EB1C2932" w:tentative="1">
      <w:start w:val="1"/>
      <w:numFmt w:val="bullet"/>
      <w:lvlText w:val=""/>
      <w:lvlJc w:val="left"/>
      <w:pPr>
        <w:tabs>
          <w:tab w:val="num" w:pos="5760"/>
        </w:tabs>
        <w:ind w:left="5760" w:hanging="360"/>
      </w:pPr>
      <w:rPr>
        <w:rFonts w:ascii="Wingdings" w:hAnsi="Wingdings" w:hint="default"/>
      </w:rPr>
    </w:lvl>
    <w:lvl w:ilvl="8" w:tplc="BD1EC23C" w:tentative="1">
      <w:start w:val="1"/>
      <w:numFmt w:val="bullet"/>
      <w:lvlText w:val=""/>
      <w:lvlJc w:val="left"/>
      <w:pPr>
        <w:tabs>
          <w:tab w:val="num" w:pos="6480"/>
        </w:tabs>
        <w:ind w:left="6480" w:hanging="360"/>
      </w:pPr>
      <w:rPr>
        <w:rFonts w:ascii="Wingdings" w:hAnsi="Wingdings" w:hint="default"/>
      </w:rPr>
    </w:lvl>
  </w:abstractNum>
  <w:num w:numId="1" w16cid:durableId="195135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1E"/>
    <w:rsid w:val="00277E0C"/>
    <w:rsid w:val="0030501E"/>
    <w:rsid w:val="004655C8"/>
    <w:rsid w:val="00511E75"/>
    <w:rsid w:val="006F69C2"/>
    <w:rsid w:val="00766CDB"/>
    <w:rsid w:val="00916245"/>
    <w:rsid w:val="0099535D"/>
    <w:rsid w:val="009A0F00"/>
    <w:rsid w:val="00A66689"/>
    <w:rsid w:val="00AC0D5F"/>
    <w:rsid w:val="00AC4822"/>
    <w:rsid w:val="00B833CF"/>
    <w:rsid w:val="00BC7948"/>
    <w:rsid w:val="00BD6850"/>
    <w:rsid w:val="00D12620"/>
    <w:rsid w:val="00D710BE"/>
    <w:rsid w:val="00D71C27"/>
    <w:rsid w:val="00EA79DD"/>
    <w:rsid w:val="00F1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9CD6B"/>
  <w15:chartTrackingRefBased/>
  <w15:docId w15:val="{80362DDD-A729-457E-A479-B02B2228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689"/>
    <w:pPr>
      <w:spacing w:after="0" w:line="240" w:lineRule="auto"/>
      <w:ind w:left="720"/>
      <w:contextualSpacing/>
    </w:pPr>
    <w:rPr>
      <w:rFonts w:ascii="Times New Roman" w:eastAsiaTheme="minorEastAsia" w:hAnsi="Times New Roman" w:cs="Times New Roman"/>
      <w:kern w:val="0"/>
      <w:sz w:val="24"/>
      <w:szCs w:val="24"/>
      <w:lang w:val="en-US"/>
      <w14:ligatures w14:val="none"/>
    </w:rPr>
  </w:style>
  <w:style w:type="paragraph" w:styleId="NormalWeb">
    <w:name w:val="Normal (Web)"/>
    <w:basedOn w:val="Normal"/>
    <w:uiPriority w:val="99"/>
    <w:semiHidden/>
    <w:unhideWhenUsed/>
    <w:rsid w:val="00AC482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AC4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22"/>
    <w:rPr>
      <w:lang w:val="lt-LT"/>
    </w:rPr>
  </w:style>
  <w:style w:type="paragraph" w:styleId="Footer">
    <w:name w:val="footer"/>
    <w:basedOn w:val="Normal"/>
    <w:link w:val="FooterChar"/>
    <w:uiPriority w:val="99"/>
    <w:unhideWhenUsed/>
    <w:rsid w:val="00AC4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22"/>
    <w:rPr>
      <w:lang w:val="lt-LT"/>
    </w:rPr>
  </w:style>
  <w:style w:type="character" w:styleId="Hyperlink">
    <w:name w:val="Hyperlink"/>
    <w:basedOn w:val="DefaultParagraphFont"/>
    <w:uiPriority w:val="99"/>
    <w:unhideWhenUsed/>
    <w:rsid w:val="00AC4822"/>
    <w:rPr>
      <w:color w:val="467886" w:themeColor="hyperlink"/>
      <w:u w:val="single"/>
    </w:rPr>
  </w:style>
  <w:style w:type="character" w:styleId="UnresolvedMention">
    <w:name w:val="Unresolved Mention"/>
    <w:basedOn w:val="DefaultParagraphFont"/>
    <w:uiPriority w:val="99"/>
    <w:semiHidden/>
    <w:unhideWhenUsed/>
    <w:rsid w:val="00AC4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88582">
      <w:bodyDiv w:val="1"/>
      <w:marLeft w:val="0"/>
      <w:marRight w:val="0"/>
      <w:marTop w:val="0"/>
      <w:marBottom w:val="0"/>
      <w:divBdr>
        <w:top w:val="none" w:sz="0" w:space="0" w:color="auto"/>
        <w:left w:val="none" w:sz="0" w:space="0" w:color="auto"/>
        <w:bottom w:val="none" w:sz="0" w:space="0" w:color="auto"/>
        <w:right w:val="none" w:sz="0" w:space="0" w:color="auto"/>
      </w:divBdr>
    </w:div>
    <w:div w:id="551966726">
      <w:bodyDiv w:val="1"/>
      <w:marLeft w:val="0"/>
      <w:marRight w:val="0"/>
      <w:marTop w:val="0"/>
      <w:marBottom w:val="0"/>
      <w:divBdr>
        <w:top w:val="none" w:sz="0" w:space="0" w:color="auto"/>
        <w:left w:val="none" w:sz="0" w:space="0" w:color="auto"/>
        <w:bottom w:val="none" w:sz="0" w:space="0" w:color="auto"/>
        <w:right w:val="none" w:sz="0" w:space="0" w:color="auto"/>
      </w:divBdr>
    </w:div>
    <w:div w:id="11140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3sektoriu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1026-EF52-431A-A3FA-6F7E1F57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 Žuravliova</dc:creator>
  <cp:keywords/>
  <dc:description/>
  <cp:lastModifiedBy>Olia Žuravliova</cp:lastModifiedBy>
  <cp:revision>11</cp:revision>
  <dcterms:created xsi:type="dcterms:W3CDTF">2024-02-02T07:02:00Z</dcterms:created>
  <dcterms:modified xsi:type="dcterms:W3CDTF">2024-02-02T08:12:00Z</dcterms:modified>
</cp:coreProperties>
</file>